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оциальная-миссия-бизнеса"/>
    <w:p>
      <w:pPr>
        <w:pStyle w:val="Heading3"/>
      </w:pPr>
      <w:r>
        <w:t xml:space="preserve">Социальная миссия бизнеса</w:t>
      </w:r>
    </w:p>
    <w:p>
      <w:pPr>
        <w:pStyle w:val="FirstParagraph"/>
      </w:pPr>
      <w:r>
        <w:t xml:space="preserve">17.01.2014</w:t>
      </w:r>
    </w:p>
    <w:p>
      <w:pPr>
        <w:pStyle w:val="BodyText"/>
      </w:pPr>
      <w:r>
        <w:rPr>
          <w:iCs/>
          <w:i/>
          <w:bCs/>
          <w:b/>
        </w:rPr>
        <w:t xml:space="preserve">В рамках проекта с таким названием планируется трудоустроить более 60 проживающих в ЗАО инвалидов с нарушениями опорно-двигательной системы</w:t>
      </w:r>
    </w:p>
    <w:p>
      <w:pPr>
        <w:pStyle w:val="BodyText"/>
      </w:pPr>
      <w:r>
        <w:rPr>
          <w:bCs/>
          <w:b/>
        </w:rPr>
        <w:t xml:space="preserve">Социально-коммерческий проект реализуется ЗАО «КЭШЛОТ» при участии Общероссийской общественной организации «Центр по оказанию помощи инвалидам с нарушениями опорно-двигательной системы».</w:t>
      </w:r>
      <w:r>
        <w:rPr>
          <w:bCs/>
          <w:b/>
        </w:rP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Социальной миссией проекта является:</w:t>
      </w:r>
    </w:p>
    <w:p>
      <w:pPr>
        <w:pStyle w:val="BodyText"/>
      </w:pPr>
      <w:r>
        <w:t xml:space="preserve">· обеспечить инвалидов, с нарушениями опорно-двигательной системы, работой</w:t>
      </w:r>
      <w:r>
        <w:t xml:space="preserve"> </w:t>
      </w:r>
      <w:r>
        <w:rPr>
          <w:bCs/>
          <w:b/>
        </w:rPr>
        <w:t xml:space="preserve">с достойным уровнем дохода;</w:t>
      </w:r>
    </w:p>
    <w:p>
      <w:pPr>
        <w:pStyle w:val="BodyText"/>
      </w:pPr>
      <w:r>
        <w:t xml:space="preserve">· позволить данной категории граждан почувствовать себя активной частью Российского общества, активно участвующей не только в повышении своего благосостояния (самостоятельно зарабатывать, обеспечивая себе и своим семьям достойное проживание), но и</w:t>
      </w:r>
      <w:r>
        <w:t xml:space="preserve"> </w:t>
      </w:r>
      <w:r>
        <w:rPr>
          <w:bCs/>
          <w:b/>
        </w:rPr>
        <w:t xml:space="preserve">приносить пользу общественному движению инвалидов;</w:t>
      </w:r>
    </w:p>
    <w:p>
      <w:pPr>
        <w:pStyle w:val="BodyText"/>
      </w:pPr>
      <w:r>
        <w:t xml:space="preserve">· дать малообеспеченным, социально ущемленным слоям населения наглядный пример возможности перейти из категории иждивенцев в</w:t>
      </w:r>
      <w:r>
        <w:t xml:space="preserve"> </w:t>
      </w:r>
      <w:r>
        <w:rPr>
          <w:bCs/>
          <w:b/>
        </w:rPr>
        <w:t xml:space="preserve">категорию активно работающих граждан;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снять социальные напряжения</w:t>
      </w:r>
      <w:r>
        <w:t xml:space="preserve"> </w:t>
      </w:r>
      <w:r>
        <w:t xml:space="preserve">среди категории Российских граждан.</w:t>
      </w:r>
    </w:p>
    <w:p>
      <w:pPr>
        <w:pStyle w:val="BodyText"/>
      </w:pPr>
      <w:r>
        <w:rPr>
          <w:bCs/>
          <w:b/>
        </w:rPr>
        <w:t xml:space="preserve">Суть проекта:</w:t>
      </w:r>
      <w:r>
        <w:t xml:space="preserve"> </w:t>
      </w:r>
      <w:r>
        <w:t xml:space="preserve">организация специализированных, под инвалидов, точек распространения негосударственных и государственных лотерей, в том числе проводимых в поддержку XXII Олимпийских зимних игр и XI Параолимпийских зимних игр 2014 года в г. Сочи.</w:t>
      </w:r>
    </w:p>
    <w:p>
      <w:pPr>
        <w:pStyle w:val="BodyText"/>
      </w:pPr>
      <w:r>
        <w:rPr>
          <w:bCs/>
          <w:b/>
        </w:rPr>
        <w:t xml:space="preserve">По плану проекта:</w:t>
      </w:r>
      <w:r>
        <w:t xml:space="preserve"> </w:t>
      </w:r>
      <w:r>
        <w:t xml:space="preserve">в течение 12 месяцев, с начала активного действия проекта, трудоустроить около 1000 человек (инвалидов) в Москве и Московской области.</w:t>
      </w:r>
    </w:p>
    <w:p>
      <w:pPr>
        <w:pStyle w:val="BodyText"/>
      </w:pPr>
      <w:r>
        <w:rPr>
          <w:bCs/>
          <w:b/>
        </w:rPr>
        <w:t xml:space="preserve">Что уже сделано в рамках проекта: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ЗАО «КЭШЛОТ»</w:t>
      </w:r>
      <w:r>
        <w:t xml:space="preserve"> </w:t>
      </w:r>
      <w:r>
        <w:t xml:space="preserve">разработаны экспериментальные образцы торгового оборудования, приспособленного под специфику сотрудников (инвалидов) и в соответствии с требованиями по оборудованию торговых мест по этому виду деятельности, размещен предварительный заказ (на 100 рабочих мест).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ЗАО «КЭШЛОТ»</w:t>
      </w:r>
      <w:r>
        <w:t xml:space="preserve"> </w:t>
      </w:r>
      <w:r>
        <w:t xml:space="preserve">разработан полный пакет документов для трудоустройства данной категории граждан, в соответствии с ТК РФ.</w:t>
      </w:r>
    </w:p>
    <w:p>
      <w:pPr>
        <w:pStyle w:val="BodyText"/>
      </w:pPr>
      <w:r>
        <w:rPr>
          <w:bCs/>
          <w:b/>
        </w:rPr>
        <w:t xml:space="preserve">Список приоритетных торговых комплексов</w:t>
      </w:r>
    </w:p>
    <w:p>
      <w:pPr>
        <w:pStyle w:val="BodyText"/>
      </w:pPr>
      <w:r>
        <w:rPr>
          <w:bCs/>
          <w:b/>
        </w:rPr>
        <w:t xml:space="preserve">по Западному административному округу г.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ТРЦ/ТЦ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входов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пеш/пар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Времена года</w:t>
            </w:r>
          </w:p>
        </w:tc>
        <w:tc>
          <w:tcPr/>
          <w:p>
            <w:pPr>
              <w:jc w:val="left"/>
            </w:pPr>
            <w:r>
              <w:t xml:space="preserve">Кутузовский проспект, 48</w:t>
            </w:r>
          </w:p>
        </w:tc>
        <w:tc>
          <w:tcPr/>
          <w:p>
            <w:pPr>
              <w:jc w:val="left"/>
            </w:pPr>
            <w:r>
              <w:t xml:space="preserve">2/2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Горбушкин двор</w:t>
            </w:r>
          </w:p>
        </w:tc>
        <w:tc>
          <w:tcPr/>
          <w:p>
            <w:pPr>
              <w:jc w:val="left"/>
            </w:pPr>
            <w:r>
              <w:t xml:space="preserve">Багратионовский пр., 7/1</w:t>
            </w:r>
          </w:p>
        </w:tc>
        <w:tc>
          <w:tcPr/>
          <w:p>
            <w:pPr>
              <w:jc w:val="left"/>
            </w:pPr>
            <w:r>
              <w:t xml:space="preserve">13/0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Европарк</w:t>
            </w:r>
          </w:p>
        </w:tc>
        <w:tc>
          <w:tcPr/>
          <w:p>
            <w:pPr>
              <w:jc w:val="left"/>
            </w:pPr>
            <w:r>
              <w:t xml:space="preserve">Рублевское шоссе, д. 62</w:t>
            </w:r>
          </w:p>
        </w:tc>
        <w:tc>
          <w:tcPr/>
          <w:p>
            <w:pPr>
              <w:jc w:val="left"/>
            </w:pPr>
            <w:r>
              <w:t xml:space="preserve">6/3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Европейский</w:t>
            </w:r>
          </w:p>
        </w:tc>
        <w:tc>
          <w:tcPr/>
          <w:p>
            <w:pPr>
              <w:jc w:val="left"/>
            </w:pPr>
            <w:r>
              <w:t xml:space="preserve">пл. Киевского вокзала, 2</w:t>
            </w:r>
          </w:p>
        </w:tc>
        <w:tc>
          <w:tcPr/>
          <w:p>
            <w:pPr>
              <w:jc w:val="left"/>
            </w:pPr>
            <w:r>
              <w:t xml:space="preserve">5/0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Западный</w:t>
            </w:r>
          </w:p>
        </w:tc>
        <w:tc>
          <w:tcPr/>
          <w:p>
            <w:pPr>
              <w:jc w:val="left"/>
            </w:pPr>
            <w:r>
              <w:t xml:space="preserve">Рублевское шоссе, 52</w:t>
            </w:r>
          </w:p>
        </w:tc>
        <w:tc>
          <w:tcPr/>
          <w:p>
            <w:pPr>
              <w:jc w:val="left"/>
            </w:pPr>
            <w:r>
              <w:t xml:space="preserve">4/3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Капитолий на Кунцево</w:t>
            </w:r>
          </w:p>
        </w:tc>
        <w:tc>
          <w:tcPr/>
          <w:p>
            <w:pPr>
              <w:jc w:val="left"/>
            </w:pPr>
            <w:r>
              <w:t xml:space="preserve">ул. Ярцевская, 19</w:t>
            </w:r>
          </w:p>
        </w:tc>
        <w:tc>
          <w:tcPr/>
          <w:p>
            <w:pPr>
              <w:jc w:val="left"/>
            </w:pPr>
            <w:r>
              <w:t xml:space="preserve">4/1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Капитолий на Вернадского</w:t>
            </w:r>
          </w:p>
        </w:tc>
        <w:tc>
          <w:tcPr/>
          <w:p>
            <w:pPr>
              <w:jc w:val="left"/>
            </w:pPr>
            <w:r>
              <w:t xml:space="preserve">пр-т Вернадского, 6</w:t>
            </w:r>
          </w:p>
        </w:tc>
        <w:tc>
          <w:tcPr/>
          <w:p>
            <w:pPr>
              <w:jc w:val="left"/>
            </w:pPr>
            <w:r>
              <w:t xml:space="preserve">3/1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Квадро</w:t>
            </w:r>
          </w:p>
        </w:tc>
        <w:tc>
          <w:tcPr/>
          <w:p>
            <w:pPr>
              <w:jc w:val="left"/>
            </w:pPr>
            <w:r>
              <w:t xml:space="preserve">Кутузовский пр-т, 88</w:t>
            </w:r>
          </w:p>
        </w:tc>
        <w:tc>
          <w:tcPr/>
          <w:p>
            <w:pPr>
              <w:jc w:val="left"/>
            </w:pPr>
            <w:r>
              <w:t xml:space="preserve">4/2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Магнит</w:t>
            </w:r>
          </w:p>
        </w:tc>
        <w:tc>
          <w:tcPr/>
          <w:p>
            <w:pPr>
              <w:jc w:val="left"/>
            </w:pPr>
            <w:r>
              <w:t xml:space="preserve">ул. Удальцова, д. 42</w:t>
            </w:r>
          </w:p>
        </w:tc>
        <w:tc>
          <w:tcPr/>
          <w:p>
            <w:pPr>
              <w:jc w:val="left"/>
            </w:pPr>
            <w:r>
              <w:t xml:space="preserve">3/2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МонАрх</w:t>
            </w:r>
          </w:p>
        </w:tc>
        <w:tc>
          <w:tcPr/>
          <w:p>
            <w:pPr>
              <w:jc w:val="left"/>
            </w:pPr>
            <w:r>
              <w:t xml:space="preserve">Ленинградский пр-т, д.31А, стр. 1</w:t>
            </w:r>
          </w:p>
        </w:tc>
        <w:tc>
          <w:tcPr/>
          <w:p>
            <w:pPr>
              <w:jc w:val="left"/>
            </w:pPr>
            <w:r>
              <w:t xml:space="preserve">5/2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Мосмарт на Боровском</w:t>
            </w:r>
          </w:p>
        </w:tc>
        <w:tc>
          <w:tcPr/>
          <w:p>
            <w:pPr>
              <w:jc w:val="left"/>
            </w:pPr>
            <w:r>
              <w:t xml:space="preserve">47-км МКАД</w:t>
            </w:r>
          </w:p>
        </w:tc>
        <w:tc>
          <w:tcPr/>
          <w:p>
            <w:pPr>
              <w:jc w:val="left"/>
            </w:pPr>
            <w:r>
              <w:t xml:space="preserve">5/3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Мосмарт Сумбур</w:t>
            </w:r>
          </w:p>
        </w:tc>
        <w:tc>
          <w:tcPr/>
          <w:p>
            <w:pPr>
              <w:jc w:val="left"/>
            </w:pPr>
            <w:r>
              <w:t xml:space="preserve">Боровское шоссе, стр. 20</w:t>
            </w:r>
          </w:p>
        </w:tc>
        <w:tc>
          <w:tcPr/>
          <w:p>
            <w:pPr>
              <w:jc w:val="left"/>
            </w:pPr>
            <w:r>
              <w:t xml:space="preserve">5/3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Фили</w:t>
            </w:r>
          </w:p>
        </w:tc>
        <w:tc>
          <w:tcPr/>
          <w:p>
            <w:pPr>
              <w:jc w:val="left"/>
            </w:pPr>
            <w:r>
              <w:t xml:space="preserve">ул. Барклая, 10А</w:t>
            </w:r>
          </w:p>
        </w:tc>
        <w:tc>
          <w:tcPr/>
          <w:p>
            <w:pPr>
              <w:jc w:val="left"/>
            </w:pPr>
            <w:r>
              <w:t xml:space="preserve">4/1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Филион</w:t>
            </w:r>
          </w:p>
        </w:tc>
        <w:tc>
          <w:tcPr/>
          <w:p>
            <w:pPr>
              <w:jc w:val="left"/>
            </w:pPr>
            <w:r>
              <w:t xml:space="preserve">Багратионовский проезд, дом 5</w:t>
            </w:r>
          </w:p>
        </w:tc>
        <w:tc>
          <w:tcPr/>
          <w:p>
            <w:pPr>
              <w:jc w:val="left"/>
            </w:pPr>
            <w:r>
              <w:t xml:space="preserve">6/3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Триумфальный</w:t>
            </w:r>
          </w:p>
        </w:tc>
        <w:tc>
          <w:tcPr/>
          <w:p>
            <w:pPr>
              <w:jc w:val="left"/>
            </w:pPr>
            <w:r>
              <w:t xml:space="preserve">ул. Вавилова, дом 66, строение 1</w:t>
            </w:r>
          </w:p>
        </w:tc>
        <w:tc>
          <w:tcPr/>
          <w:p>
            <w:pPr>
              <w:jc w:val="left"/>
            </w:pPr>
            <w:r>
              <w:t xml:space="preserve">3/0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Тук-Тук</w:t>
            </w:r>
          </w:p>
        </w:tc>
        <w:tc>
          <w:tcPr/>
          <w:p>
            <w:pPr>
              <w:jc w:val="left"/>
            </w:pPr>
            <w:r>
              <w:t xml:space="preserve">ул. Матвеевская, 2</w:t>
            </w:r>
          </w:p>
        </w:tc>
        <w:tc>
          <w:tcPr/>
          <w:p>
            <w:pPr>
              <w:jc w:val="left"/>
            </w:pPr>
            <w:r>
              <w:t xml:space="preserve">2/0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Тук-тук</w:t>
            </w:r>
          </w:p>
        </w:tc>
        <w:tc>
          <w:tcPr/>
          <w:p>
            <w:pPr>
              <w:jc w:val="left"/>
            </w:pPr>
            <w:r>
              <w:t xml:space="preserve">Новорязанское шоссе, 7-й км</w:t>
            </w:r>
          </w:p>
        </w:tc>
        <w:tc>
          <w:tcPr/>
          <w:p>
            <w:pPr>
              <w:jc w:val="left"/>
            </w:pPr>
            <w:r>
              <w:t xml:space="preserve">5/2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У Речного</w:t>
            </w:r>
          </w:p>
        </w:tc>
        <w:tc>
          <w:tcPr/>
          <w:p>
            <w:pPr>
              <w:jc w:val="left"/>
            </w:pPr>
            <w:r>
              <w:t xml:space="preserve">ул. Фестивальная, д. 13</w:t>
            </w:r>
          </w:p>
        </w:tc>
        <w:tc>
          <w:tcPr/>
          <w:p>
            <w:pPr>
              <w:jc w:val="left"/>
            </w:pPr>
            <w:r>
              <w:t xml:space="preserve">5/0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УниверСити</w:t>
            </w:r>
          </w:p>
        </w:tc>
        <w:tc>
          <w:tcPr/>
          <w:p>
            <w:pPr>
              <w:jc w:val="left"/>
            </w:pPr>
            <w:r>
              <w:t xml:space="preserve">пл. Джавахарлала Неру, д. 1</w:t>
            </w:r>
          </w:p>
        </w:tc>
        <w:tc>
          <w:tcPr/>
          <w:p>
            <w:pPr>
              <w:jc w:val="left"/>
            </w:pPr>
            <w:r>
              <w:t xml:space="preserve">3/0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http://ramenki.mos.ru/presscenter/news/detail/928668.html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928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928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2024-09-22T14:15:52Z</dcterms:created>
  <dcterms:modified xsi:type="dcterms:W3CDTF">2024-09-22T14:15:52Z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