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5ebfb549b8c095ef8344326ab411abadaf5ce"/>
    <w:p>
      <w:pPr>
        <w:pStyle w:val="Heading3"/>
      </w:pPr>
      <w:r>
        <w:t xml:space="preserve">Президент РФ поручил принять меры, которые обеспечат достройку кластера «Междисциплинарный» ИНТЦ «Воробьевы горы»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02.04.2025</w:t>
      </w:r>
    </w:p>
    <w:p>
      <w:pPr>
        <w:pStyle w:val="BodyText"/>
      </w:pPr>
      <w:r>
        <w:t xml:space="preserve">Президент РФ Владимир Путин утвердил перечень поручений по итогам заседания попечительского совета Московского государственного университета имени М.В. Ломоносова.</w:t>
      </w:r>
    </w:p>
    <w:p>
      <w:pPr>
        <w:pStyle w:val="BodyText"/>
      </w:pPr>
      <w:r>
        <w:t xml:space="preserve">Как сообщается на</w:t>
      </w:r>
      <w:r>
        <w:t xml:space="preserve"> </w:t>
      </w:r>
      <w:hyperlink r:id="rId20">
        <w:r>
          <w:rPr>
            <w:rStyle w:val="Hyperlink"/>
          </w:rPr>
          <w:t xml:space="preserve">kremlin.ru</w:t>
        </w:r>
      </w:hyperlink>
      <w:r>
        <w:t xml:space="preserve">, правительство РФ совместно с МГУ должны принять меры, обеспечивающие завершение строительства кластера «Междисциплинарный» ИНТЦ «Воробьевы горы». Также необходимо обеспечить подготовку проекта по развитию инфраструктуры кластера.</w:t>
      </w:r>
    </w:p>
    <w:p>
      <w:pPr>
        <w:pStyle w:val="BodyText"/>
      </w:pPr>
      <w:r>
        <w:t xml:space="preserve">Правительству России совместно с МГУ, Фондом развития Московского университета и при участии правительства Москвы, заинтересованных государственных корпораций и компаний с государственным участием поручено определить приоритетные объекты инфраструктуры ИНТЦ, механизмы и сроки их создания, а также источники и объем финансирования работ по созданию таких объектов.</w:t>
      </w:r>
    </w:p>
    <w:p>
      <w:pPr>
        <w:pStyle w:val="BodyText"/>
      </w:pPr>
      <w:r>
        <w:t xml:space="preserve">Кроме того, следует определить возможность передачи по договору в пользование на длительный срок без взимания платы участвующим в реализации проекта организациям, учредителем которых является Российская Федерация или субъект РФ, и подконтрольным таким организациям хозяйственным обществам земельных участков, на которых создаются эти объекты инфраструктуры, предусмотрев ограничение права на расторжение таких договоров, а также возможность приобретения созданных объектов инфраструктуры в собственность Москвы.</w:t>
      </w:r>
    </w:p>
    <w:p>
      <w:pPr>
        <w:pStyle w:val="BodyText"/>
      </w:pPr>
      <w:r>
        <w:t xml:space="preserve">Также сторонам поручено рассмотреть вопрос о передаче Москве земельных участков для обеспечения строительства и функционирования кластеров «Космос» и «Нанотех» ИНТЦ.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http://ramenki.mos.ru/presscenter/news/detail/12893126.html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2893126.html" TargetMode="External" /><Relationship Type="http://schemas.openxmlformats.org/officeDocument/2006/relationships/hyperlink" Id="rId20" Target="http://www.kremlin.ru/acts/assignments/orders/766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2893126.html" TargetMode="External" /><Relationship Type="http://schemas.openxmlformats.org/officeDocument/2006/relationships/hyperlink" Id="rId20" Target="http://www.kremlin.ru/acts/assignments/orders/766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2025-06-01T02:36:37Z</dcterms:created>
  <dcterms:modified xsi:type="dcterms:W3CDTF">2025-06-01T02:36:37Z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