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1df56572ba7df48754612921e5ffb14fdb231d"/>
    <w:p>
      <w:pPr>
        <w:pStyle w:val="Heading3"/>
      </w:pPr>
      <w:r>
        <w:t xml:space="preserve">В рамках программы мэра г. Москвы проводится безвозмездное консультирование потребителей</w:t>
      </w:r>
    </w:p>
    <w:p>
      <w:pPr>
        <w:pStyle w:val="FirstParagraph"/>
      </w:pPr>
      <w:r>
        <w:t xml:space="preserve">02.09.2021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ramenki.mos.ru/www/AiF/2021/a9e4cd74-08ee-4ca6-8924-aefcdb1483c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http://ramenki.mos.ru/presscenter/news-on-main/detail/4562891.html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Раменки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ramenki.mos.ru" TargetMode="External" /><Relationship Type="http://schemas.openxmlformats.org/officeDocument/2006/relationships/hyperlink" Id="rId23" Target="http://ramenki.mos.ru/presscenter/news-on-main/detail/45628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ramenki.mos.ru" TargetMode="External" /><Relationship Type="http://schemas.openxmlformats.org/officeDocument/2006/relationships/hyperlink" Id="rId23" Target="http://ramenki.mos.ru/presscenter/news-on-main/detail/45628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2023-05-25T21:42:51Z</dcterms:created>
  <dcterms:modified xsi:type="dcterms:W3CDTF">2023-05-25T21:42:51Z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