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20ddb7a5483a0785f09d18bfc78e6c8c3c71b"/>
    <w:p>
      <w:pPr>
        <w:pStyle w:val="Heading3"/>
      </w:pPr>
      <w:r>
        <w:t xml:space="preserve">МЕТОДИЧЕСКИЕ РЕКОМЕНДАЦИИ по представлению государственным гражданским служащим города Москвы (лицом, за-мещающим государственную должность города Москвы) сведений о доходах, об имущест-ве и обязательствах имущественного характера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МЕТОДИЧЕСКИЕ РЕКОМЕНДАЦИИ по представлению государственным гражданским служащим города Москвы (лицом, за-мещающим государственную должность города Москвы) сведений о доходах, об имущест-ве и обязательствах имущественного характера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http://ramenki.mos.ru/anti-corruption/methodical-materials/detail/1119581.html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2025-07-26T15:26:49Z</dcterms:created>
  <dcterms:modified xsi:type="dcterms:W3CDTF">2025-07-26T15:26:49Z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