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17bad3c0215ca6acda4d8a4f1622e254713e1"/>
    <w:p>
      <w:pPr>
        <w:pStyle w:val="Heading3"/>
      </w:pPr>
      <w:r>
        <w:t xml:space="preserve">Методические рекомендации по оформлению справок о доходах, об имуществе и обязательствах имущественного характера</w:t>
      </w:r>
    </w:p>
    <w:p>
      <w:pPr>
        <w:pStyle w:val="FirstParagraph"/>
      </w:pPr>
      <w:r>
        <w:t xml:space="preserve">11.07.2014</w:t>
      </w:r>
    </w:p>
    <w:p>
      <w:pPr>
        <w:pStyle w:val="BodyText"/>
      </w:pPr>
      <w:r>
        <w:t xml:space="preserve">Методические рекомендации по оформлению справок о доходах, об имуществе и обязательствах имущественного характера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http://ramenki.mos.ru/anti-corruption/methodical-materials/detail/1119580.html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methodical-materials/detail/1119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methodical-materials/detail/1119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2025-05-14T03:10:53Z</dcterms:created>
  <dcterms:modified xsi:type="dcterms:W3CDTF">2025-05-14T03:10:53Z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