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56582dd654e89262b701fb225142c82c09cf"/>
    <w:p>
      <w:pPr>
        <w:pStyle w:val="Heading3"/>
      </w:pPr>
      <w:r>
        <w:t xml:space="preserve">Методические рекомендации о типовых ситуациях конфликта интересов на государственной гражданской службе и порядке их урегулирования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t xml:space="preserve">Методические рекомендации о типовых ситуациях конфликта интересов на государственной гражданской службе и порядке их урегулирования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http://ramenki.mos.ru/anti-corruption/methodical-materials/detail/1119579.html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methodical-materials/detail/1119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methodical-materials/detail/1119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2025-05-11T20:58:42Z</dcterms:created>
  <dcterms:modified xsi:type="dcterms:W3CDTF">2025-05-11T20:58:42Z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