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63353135ccd85ded464c7a675f4edba5069786"/>
    <w:p>
      <w:pPr>
        <w:pStyle w:val="Heading3"/>
      </w:pPr>
      <w:r>
        <w:t xml:space="preserve">Распоряжение от 15 ноября 2022 г. №101-Р "Об утверждении списка должностей"</w:t>
      </w:r>
    </w:p>
    <w:p>
      <w:pPr>
        <w:pStyle w:val="FirstParagraph"/>
      </w:pPr>
      <w:r>
        <w:t xml:space="preserve">18.11.2022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http://ramenki.mos.ru/anti-corruption/information-on-income-expenses-about-property-and-obligations-of-property-character/detail/11235258.html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Раменки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anti-corruption/information-on-income-expenses-about-property-and-obligations-of-property-character/detail/112352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anti-corruption/information-on-income-expenses-about-property-and-obligations-of-property-character/detail/112352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2025-07-27T16:25:57Z</dcterms:created>
  <dcterms:modified xsi:type="dcterms:W3CDTF">2025-07-27T16:25:57Z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